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9B" w:rsidRDefault="008F479B" w:rsidP="008E5182">
      <w:pPr>
        <w:jc w:val="center"/>
        <w:rPr>
          <w:b/>
          <w:sz w:val="32"/>
        </w:rPr>
      </w:pPr>
      <w:bookmarkStart w:id="0" w:name="_GoBack"/>
      <w:bookmarkEnd w:id="0"/>
    </w:p>
    <w:p w:rsidR="008E5182" w:rsidRDefault="008E5182" w:rsidP="008E5182">
      <w:pPr>
        <w:jc w:val="center"/>
        <w:rPr>
          <w:b/>
          <w:sz w:val="32"/>
        </w:rPr>
      </w:pPr>
      <w:r>
        <w:rPr>
          <w:b/>
          <w:sz w:val="32"/>
        </w:rPr>
        <w:t xml:space="preserve">Combined Behavioral Health Block Grant Idaho Goals </w:t>
      </w:r>
    </w:p>
    <w:p w:rsidR="008E5182" w:rsidRDefault="008E5182" w:rsidP="008E5182">
      <w:pPr>
        <w:jc w:val="center"/>
        <w:rPr>
          <w:b/>
          <w:sz w:val="32"/>
        </w:rPr>
      </w:pPr>
    </w:p>
    <w:p w:rsidR="001A5D3A" w:rsidRPr="00136EEE" w:rsidRDefault="00F03412" w:rsidP="00136EEE">
      <w:pPr>
        <w:spacing w:line="276" w:lineRule="auto"/>
      </w:pPr>
      <w:r w:rsidRPr="00F03412">
        <w:rPr>
          <w:b/>
          <w:sz w:val="28"/>
        </w:rPr>
        <w:t xml:space="preserve">Background: </w:t>
      </w:r>
      <w:r w:rsidR="00A80B4E">
        <w:t xml:space="preserve">The Idaho Behavior Health Planning Council is responsible for reviewing Idaho’s combined Mental Health and Substance Abuse Prevention and Treatment Block Grant.  Block grant applications and reports requirements change over time, so states must wait for current instructions to be issued before they can begin development of the documents.  Due to the timing of the issue of instructions and the due date of the applications and reports, in most years, the Planning Council has a very short period of time to review the documents.  </w:t>
      </w:r>
      <w:r w:rsidR="001A5D3A" w:rsidRPr="00136EEE">
        <w:t xml:space="preserve">In an effort to </w:t>
      </w:r>
      <w:r w:rsidR="00A80B4E">
        <w:t xml:space="preserve">improve this process, the Division of Behavioral Health has created summary sheets that provide an overview of block grant goals and the current federal initiatives.  The goal is to provide more time for </w:t>
      </w:r>
      <w:r w:rsidR="001A5D3A" w:rsidRPr="00136EEE">
        <w:t>the Planning Council</w:t>
      </w:r>
      <w:r w:rsidR="00C92FDD">
        <w:t xml:space="preserve"> </w:t>
      </w:r>
      <w:r w:rsidR="00A80B4E">
        <w:t xml:space="preserve">and the Division to have an </w:t>
      </w:r>
      <w:proofErr w:type="gramStart"/>
      <w:r w:rsidR="00A80B4E">
        <w:t xml:space="preserve">ongoing </w:t>
      </w:r>
      <w:r w:rsidR="001A5D3A" w:rsidRPr="00136EEE">
        <w:t xml:space="preserve"> dialog</w:t>
      </w:r>
      <w:proofErr w:type="gramEnd"/>
      <w:r w:rsidR="001A5D3A" w:rsidRPr="00136EEE">
        <w:t xml:space="preserve"> </w:t>
      </w:r>
      <w:r w:rsidR="00A80B4E">
        <w:t>about the applications and reports.</w:t>
      </w:r>
      <w:r w:rsidR="001A5D3A" w:rsidRPr="00136EEE">
        <w:t xml:space="preserve"> </w:t>
      </w:r>
      <w:r w:rsidR="00A20C6C">
        <w:t xml:space="preserve">This will enable the Division to more accurately report all the activities that are being undertaken in Idaho.  </w:t>
      </w:r>
      <w:r w:rsidR="00A80B4E">
        <w:t>To support this effort,</w:t>
      </w:r>
      <w:r w:rsidR="001A5D3A" w:rsidRPr="00136EEE">
        <w:t xml:space="preserve"> two </w:t>
      </w:r>
      <w:r w:rsidR="00A80B4E">
        <w:t>documents</w:t>
      </w:r>
      <w:r w:rsidR="001A5D3A" w:rsidRPr="00136EEE">
        <w:t xml:space="preserve"> have been created.  One covers the Idaho goals for the FY 16/17 Combined CMHS and SAPT block grant application.  The other </w:t>
      </w:r>
      <w:r w:rsidR="00A80B4E">
        <w:t>document</w:t>
      </w:r>
      <w:r w:rsidR="001A5D3A" w:rsidRPr="00136EEE">
        <w:t xml:space="preserve"> covers the current </w:t>
      </w:r>
      <w:r w:rsidR="008F479B">
        <w:t>federal</w:t>
      </w:r>
      <w:r w:rsidR="001A5D3A" w:rsidRPr="00136EEE">
        <w:t xml:space="preserve"> initiatives </w:t>
      </w:r>
      <w:r w:rsidR="00BE15C9">
        <w:t>which states are required to address as part of the application</w:t>
      </w:r>
      <w:r w:rsidR="001A5D3A" w:rsidRPr="00136EEE">
        <w:t>.</w:t>
      </w:r>
    </w:p>
    <w:p w:rsidR="001A5D3A" w:rsidRPr="00136EEE" w:rsidRDefault="001A5D3A" w:rsidP="00136EEE">
      <w:pPr>
        <w:spacing w:line="276" w:lineRule="auto"/>
      </w:pPr>
    </w:p>
    <w:p w:rsidR="006A43CC" w:rsidRDefault="00795752" w:rsidP="00136EEE">
      <w:pPr>
        <w:spacing w:line="276" w:lineRule="auto"/>
      </w:pPr>
      <w:r>
        <w:rPr>
          <w:b/>
          <w:sz w:val="28"/>
        </w:rPr>
        <w:t xml:space="preserve">Idaho Goals: </w:t>
      </w:r>
      <w:r w:rsidR="001A5D3A" w:rsidRPr="00136EEE">
        <w:t xml:space="preserve">This document focuses on the goals that Idaho established in the FY 16/17 combined block grant application.  </w:t>
      </w:r>
      <w:r w:rsidR="004E22EA" w:rsidRPr="00136EEE">
        <w:t xml:space="preserve">Idaho </w:t>
      </w:r>
      <w:r w:rsidR="001A5D3A" w:rsidRPr="00136EEE">
        <w:t xml:space="preserve">was required to </w:t>
      </w:r>
      <w:r w:rsidR="004E22EA" w:rsidRPr="00136EEE">
        <w:t>established goals specific to adult and childrens</w:t>
      </w:r>
      <w:r w:rsidR="001A5D3A" w:rsidRPr="00136EEE">
        <w:t>’</w:t>
      </w:r>
      <w:r w:rsidR="004E22EA" w:rsidRPr="00136EEE">
        <w:t xml:space="preserve"> mental health</w:t>
      </w:r>
      <w:r w:rsidR="00136EEE" w:rsidRPr="00136EEE">
        <w:t xml:space="preserve"> services</w:t>
      </w:r>
      <w:r w:rsidR="004E22EA" w:rsidRPr="00136EEE">
        <w:t xml:space="preserve">, primary </w:t>
      </w:r>
      <w:r w:rsidR="001A5D3A" w:rsidRPr="00136EEE">
        <w:t xml:space="preserve">substance abuse </w:t>
      </w:r>
      <w:r w:rsidR="004E22EA" w:rsidRPr="00136EEE">
        <w:t xml:space="preserve">prevention </w:t>
      </w:r>
      <w:r w:rsidR="00136EEE" w:rsidRPr="00136EEE">
        <w:t xml:space="preserve">services </w:t>
      </w:r>
      <w:r w:rsidR="004E22EA" w:rsidRPr="00136EEE">
        <w:t xml:space="preserve">and substance use disorders treatment services.  </w:t>
      </w:r>
      <w:r w:rsidR="00136EEE" w:rsidRPr="00136EEE">
        <w:t xml:space="preserve">Some goals address both mental health and substance use disorders treatment services.  </w:t>
      </w:r>
    </w:p>
    <w:p w:rsidR="006A43CC" w:rsidRDefault="006A43CC" w:rsidP="00136EEE">
      <w:pPr>
        <w:spacing w:line="276" w:lineRule="auto"/>
      </w:pPr>
    </w:p>
    <w:p w:rsidR="006A43CC" w:rsidRPr="00136EEE" w:rsidRDefault="006A43CC" w:rsidP="006A43CC">
      <w:pPr>
        <w:spacing w:line="276" w:lineRule="auto"/>
      </w:pPr>
      <w:r w:rsidRPr="00E92BB6">
        <w:rPr>
          <w:b/>
          <w:sz w:val="28"/>
        </w:rPr>
        <w:t xml:space="preserve">This Document: </w:t>
      </w:r>
      <w:r>
        <w:t xml:space="preserve">This document includes information on all the initiatives and is intended to provide Planning Council Members with a tool to report activities/resources that your group/organization/region has undertaken. </w:t>
      </w:r>
      <w:r w:rsidRPr="00136EEE">
        <w:t xml:space="preserve">The first column summarizes the </w:t>
      </w:r>
      <w:r>
        <w:t>intent of the initiative</w:t>
      </w:r>
      <w:r w:rsidRPr="00136EEE">
        <w:t>.  The second column describes the type of information needed to evaluate the implementation status of the goal.  The third column can be expanded as needed to enable Planning Council members to provide information on what the group/organization that they represent, as well as the Planning Council, is doing that supports achievement of the goal.  All block grant applications and reports are posted on the Planning Councils webpage</w:t>
      </w:r>
      <w:r>
        <w:t xml:space="preserve"> under the “Reports” heading</w:t>
      </w:r>
      <w:r w:rsidRPr="00136EEE">
        <w:t>.</w:t>
      </w:r>
      <w:r>
        <w:t xml:space="preserve">  If you select “Block Grant Reports and Applications” a drop-down menu will appear listing block grant documents dating back to 2010.</w:t>
      </w:r>
    </w:p>
    <w:p w:rsidR="00136EEE" w:rsidRPr="00136EEE" w:rsidRDefault="00136EEE" w:rsidP="00136EEE">
      <w:pPr>
        <w:spacing w:line="276" w:lineRule="auto"/>
      </w:pPr>
    </w:p>
    <w:p w:rsidR="00136EEE" w:rsidRPr="00136EEE" w:rsidRDefault="00F03412" w:rsidP="00136EEE">
      <w:pPr>
        <w:spacing w:line="276" w:lineRule="auto"/>
      </w:pPr>
      <w:r>
        <w:rPr>
          <w:b/>
          <w:sz w:val="28"/>
        </w:rPr>
        <w:t>Contact Information</w:t>
      </w:r>
      <w:r w:rsidRPr="00F03412">
        <w:rPr>
          <w:b/>
          <w:sz w:val="28"/>
        </w:rPr>
        <w:t>:</w:t>
      </w:r>
      <w:r>
        <w:rPr>
          <w:b/>
          <w:sz w:val="28"/>
        </w:rPr>
        <w:t xml:space="preserve"> </w:t>
      </w:r>
      <w:r w:rsidR="00136EEE" w:rsidRPr="00136EEE">
        <w:t xml:space="preserve">If you have </w:t>
      </w:r>
      <w:r>
        <w:t>information to share</w:t>
      </w:r>
      <w:r w:rsidR="009A5499">
        <w:t>,</w:t>
      </w:r>
      <w:r>
        <w:t xml:space="preserve"> </w:t>
      </w:r>
      <w:r w:rsidR="00136EEE" w:rsidRPr="00136EEE">
        <w:t>questions</w:t>
      </w:r>
      <w:r w:rsidR="009A5499">
        <w:t xml:space="preserve"> or concerns</w:t>
      </w:r>
      <w:r w:rsidR="00136EEE" w:rsidRPr="00136EEE">
        <w:t xml:space="preserve"> about the block grant goals, applications or reports, you can contact the Division of Behavioral Health Block Grant leads.  </w:t>
      </w:r>
      <w:r>
        <w:t xml:space="preserve">While each focuses on a specific grant, both are available to provide information or take input on either grant.  </w:t>
      </w:r>
      <w:r w:rsidR="00136EEE" w:rsidRPr="00136EEE">
        <w:t xml:space="preserve">Their contact information is provided below.  </w:t>
      </w:r>
    </w:p>
    <w:p w:rsidR="00136EEE" w:rsidRPr="00136EEE" w:rsidRDefault="00136EEE" w:rsidP="00136EEE">
      <w:pPr>
        <w:spacing w:line="276" w:lineRule="auto"/>
      </w:pPr>
    </w:p>
    <w:p w:rsidR="00136EEE" w:rsidRPr="00F03412" w:rsidRDefault="00136EEE" w:rsidP="00136EEE">
      <w:pPr>
        <w:spacing w:line="276" w:lineRule="auto"/>
        <w:rPr>
          <w:b/>
          <w:color w:val="0000FF"/>
          <w:u w:val="single"/>
        </w:rPr>
      </w:pPr>
      <w:r w:rsidRPr="00136EEE">
        <w:t xml:space="preserve">Anne Bloxham, </w:t>
      </w:r>
      <w:r w:rsidR="00F03412">
        <w:t xml:space="preserve">Community </w:t>
      </w:r>
      <w:r w:rsidRPr="00136EEE">
        <w:t xml:space="preserve">Mental Health </w:t>
      </w:r>
      <w:r w:rsidR="00F03412">
        <w:t xml:space="preserve">Services </w:t>
      </w:r>
      <w:r w:rsidRPr="00136EEE">
        <w:t>Lead; 208.334.5527</w:t>
      </w:r>
      <w:proofErr w:type="gramStart"/>
      <w:r w:rsidRPr="00F03412">
        <w:rPr>
          <w:b/>
        </w:rPr>
        <w:t xml:space="preserve">;  </w:t>
      </w:r>
      <w:proofErr w:type="gramEnd"/>
      <w:hyperlink r:id="rId5" w:history="1">
        <w:r w:rsidRPr="00F03412">
          <w:rPr>
            <w:rStyle w:val="Hyperlink"/>
            <w:b w:val="0"/>
            <w:color w:val="0000FF"/>
            <w:u w:val="single"/>
          </w:rPr>
          <w:t>bloxhama@dhw.idaho.gov</w:t>
        </w:r>
      </w:hyperlink>
    </w:p>
    <w:p w:rsidR="00136EEE" w:rsidRPr="00136EEE" w:rsidRDefault="00136EEE" w:rsidP="00136EEE">
      <w:pPr>
        <w:spacing w:line="276" w:lineRule="auto"/>
      </w:pPr>
      <w:r w:rsidRPr="00136EEE">
        <w:t>Terry</w:t>
      </w:r>
      <w:r w:rsidR="00F03412">
        <w:t xml:space="preserve"> Pappin, Substance Abuse Prevention and Treatment Lead; 208.334.6542; </w:t>
      </w:r>
      <w:r w:rsidR="00F03412" w:rsidRPr="00F03412">
        <w:rPr>
          <w:color w:val="0000FF"/>
          <w:u w:val="single"/>
        </w:rPr>
        <w:t>pappint@dhw.idaho.gov</w:t>
      </w:r>
      <w:r w:rsidR="00F03412" w:rsidRPr="00F03412">
        <w:rPr>
          <w:color w:val="0000FF"/>
        </w:rPr>
        <w:t xml:space="preserve"> </w:t>
      </w:r>
    </w:p>
    <w:p w:rsidR="001A5D3A" w:rsidRDefault="001A5D3A">
      <w:pPr>
        <w:rPr>
          <w:b/>
          <w:sz w:val="40"/>
        </w:rPr>
      </w:pPr>
      <w:r>
        <w:rPr>
          <w:b/>
          <w:sz w:val="40"/>
        </w:rPr>
        <w:br w:type="page"/>
      </w:r>
    </w:p>
    <w:p w:rsidR="000F77DE" w:rsidRPr="004E22EA" w:rsidRDefault="004E22EA" w:rsidP="000F77DE">
      <w:pPr>
        <w:jc w:val="center"/>
        <w:rPr>
          <w:b/>
          <w:sz w:val="40"/>
        </w:rPr>
      </w:pPr>
      <w:r w:rsidRPr="004E22EA">
        <w:rPr>
          <w:b/>
          <w:sz w:val="40"/>
        </w:rPr>
        <w:lastRenderedPageBreak/>
        <w:t>Idaho Goals</w:t>
      </w:r>
      <w:r w:rsidR="00BE15C9">
        <w:rPr>
          <w:b/>
          <w:sz w:val="40"/>
        </w:rPr>
        <w:t xml:space="preserve"> Summary</w:t>
      </w:r>
    </w:p>
    <w:p w:rsidR="008E5182" w:rsidRPr="00A7596E" w:rsidRDefault="008E5182" w:rsidP="000F77DE">
      <w:pPr>
        <w:jc w:val="center"/>
        <w:rPr>
          <w:b/>
          <w:sz w:val="52"/>
        </w:rPr>
      </w:pPr>
    </w:p>
    <w:p w:rsidR="000F77DE" w:rsidRPr="001D38C0" w:rsidRDefault="000F77DE" w:rsidP="006D3D4D">
      <w:pPr>
        <w:rPr>
          <w:b/>
          <w:bCs/>
          <w:color w:val="02243C"/>
          <w:sz w:val="28"/>
          <w:szCs w:val="18"/>
        </w:rPr>
      </w:pPr>
      <w:r w:rsidRPr="001D38C0">
        <w:rPr>
          <w:b/>
          <w:bCs/>
          <w:color w:val="02243C"/>
          <w:sz w:val="28"/>
          <w:szCs w:val="18"/>
        </w:rPr>
        <w:t>Table 1 Priority Areas and Annual Performance Indicators</w:t>
      </w:r>
    </w:p>
    <w:p w:rsidR="008F479B" w:rsidRPr="00BE15C9" w:rsidRDefault="008F479B" w:rsidP="006D3D4D">
      <w:pPr>
        <w:rPr>
          <w:sz w:val="12"/>
        </w:rPr>
      </w:pPr>
    </w:p>
    <w:p w:rsidR="006D3D4D" w:rsidRPr="003A0E1D" w:rsidRDefault="006D3D4D" w:rsidP="006D3D4D">
      <w:r w:rsidRPr="003A0E1D">
        <w:t xml:space="preserve">The </w:t>
      </w:r>
      <w:r w:rsidR="00BE15C9">
        <w:t xml:space="preserve">“Information on </w:t>
      </w:r>
      <w:r w:rsidRPr="003A0E1D">
        <w:t>Activit</w:t>
      </w:r>
      <w:r>
        <w:t>ies</w:t>
      </w:r>
      <w:r w:rsidR="00BE15C9">
        <w:t xml:space="preserve"> in Idaho”</w:t>
      </w:r>
      <w:r w:rsidRPr="003A0E1D">
        <w:t xml:space="preserve"> </w:t>
      </w:r>
      <w:r>
        <w:t xml:space="preserve">section can be expanded as needed to report activities </w:t>
      </w:r>
      <w:r w:rsidR="00BE15C9">
        <w:t>related to</w:t>
      </w:r>
      <w:r>
        <w:t xml:space="preserve"> each </w:t>
      </w:r>
      <w:r w:rsidR="001D38C0">
        <w:t>goal</w:t>
      </w:r>
      <w:r>
        <w:t>.</w:t>
      </w:r>
    </w:p>
    <w:tbl>
      <w:tblPr>
        <w:tblStyle w:val="TableGrid"/>
        <w:tblW w:w="14688" w:type="dxa"/>
        <w:tblLayout w:type="fixed"/>
        <w:tblLook w:val="04A0" w:firstRow="1" w:lastRow="0" w:firstColumn="1" w:lastColumn="0" w:noHBand="0" w:noVBand="1"/>
      </w:tblPr>
      <w:tblGrid>
        <w:gridCol w:w="4158"/>
        <w:gridCol w:w="5220"/>
        <w:gridCol w:w="5310"/>
      </w:tblGrid>
      <w:tr w:rsidR="00ED77C9" w:rsidRPr="00ED77C9" w:rsidTr="00C92FDD">
        <w:tc>
          <w:tcPr>
            <w:tcW w:w="4158" w:type="dxa"/>
          </w:tcPr>
          <w:p w:rsidR="00ED77C9" w:rsidRPr="00ED77C9" w:rsidRDefault="00ED77C9" w:rsidP="00ED77C9">
            <w:pPr>
              <w:jc w:val="center"/>
              <w:rPr>
                <w:b/>
                <w:bCs/>
                <w:color w:val="02243C"/>
                <w:szCs w:val="18"/>
              </w:rPr>
            </w:pPr>
            <w:r>
              <w:rPr>
                <w:b/>
                <w:bCs/>
                <w:color w:val="02243C"/>
                <w:szCs w:val="18"/>
              </w:rPr>
              <w:t>Goal</w:t>
            </w:r>
          </w:p>
        </w:tc>
        <w:tc>
          <w:tcPr>
            <w:tcW w:w="5220" w:type="dxa"/>
          </w:tcPr>
          <w:p w:rsidR="00ED77C9" w:rsidRPr="00ED77C9" w:rsidRDefault="0063497C" w:rsidP="00ED77C9">
            <w:pPr>
              <w:jc w:val="center"/>
              <w:rPr>
                <w:b/>
                <w:bCs/>
                <w:color w:val="02243C"/>
                <w:szCs w:val="18"/>
              </w:rPr>
            </w:pPr>
            <w:r>
              <w:rPr>
                <w:b/>
                <w:bCs/>
                <w:color w:val="02243C"/>
                <w:szCs w:val="18"/>
              </w:rPr>
              <w:t>Needed Information</w:t>
            </w:r>
          </w:p>
        </w:tc>
        <w:tc>
          <w:tcPr>
            <w:tcW w:w="5310" w:type="dxa"/>
          </w:tcPr>
          <w:p w:rsidR="00ED77C9" w:rsidRPr="00ED77C9" w:rsidRDefault="009D25A6" w:rsidP="00ED77C9">
            <w:pPr>
              <w:jc w:val="center"/>
              <w:rPr>
                <w:b/>
                <w:bCs/>
                <w:color w:val="02243C"/>
                <w:szCs w:val="18"/>
              </w:rPr>
            </w:pPr>
            <w:r>
              <w:rPr>
                <w:b/>
                <w:bCs/>
                <w:color w:val="02243C"/>
                <w:szCs w:val="18"/>
              </w:rPr>
              <w:t xml:space="preserve">Information on </w:t>
            </w:r>
            <w:r w:rsidR="00ED77C9">
              <w:rPr>
                <w:b/>
                <w:bCs/>
                <w:color w:val="02243C"/>
                <w:szCs w:val="18"/>
              </w:rPr>
              <w:t>Activities</w:t>
            </w:r>
            <w:r>
              <w:rPr>
                <w:b/>
                <w:bCs/>
                <w:color w:val="02243C"/>
                <w:szCs w:val="18"/>
              </w:rPr>
              <w:t xml:space="preserve"> in Idaho</w:t>
            </w:r>
          </w:p>
        </w:tc>
      </w:tr>
      <w:tr w:rsidR="00AB282B" w:rsidTr="00C92FDD">
        <w:tc>
          <w:tcPr>
            <w:tcW w:w="4158" w:type="dxa"/>
          </w:tcPr>
          <w:p w:rsidR="00AB282B" w:rsidRPr="000F77DE" w:rsidRDefault="00A0586B" w:rsidP="00A0586B">
            <w:pPr>
              <w:rPr>
                <w:color w:val="02243C"/>
              </w:rPr>
            </w:pPr>
            <w:r>
              <w:rPr>
                <w:color w:val="02243C"/>
              </w:rPr>
              <w:t>Increase the number of prevention providers employing app</w:t>
            </w:r>
            <w:r w:rsidR="005E2457">
              <w:rPr>
                <w:color w:val="02243C"/>
              </w:rPr>
              <w:t>roved evidence-based strategies</w:t>
            </w:r>
          </w:p>
        </w:tc>
        <w:tc>
          <w:tcPr>
            <w:tcW w:w="5220" w:type="dxa"/>
          </w:tcPr>
          <w:p w:rsidR="00AB282B" w:rsidRDefault="00A0586B" w:rsidP="000F77DE">
            <w:pPr>
              <w:rPr>
                <w:bCs/>
                <w:color w:val="02243C"/>
                <w:szCs w:val="18"/>
              </w:rPr>
            </w:pPr>
            <w:r>
              <w:rPr>
                <w:bCs/>
                <w:color w:val="02243C"/>
                <w:szCs w:val="18"/>
              </w:rPr>
              <w:t xml:space="preserve">Names of programs/activities funded. (Idaho evidence-based program list located on internet at </w:t>
            </w:r>
            <w:hyperlink r:id="rId6" w:history="1">
              <w:r w:rsidR="008F479B" w:rsidRPr="00C92FDD">
                <w:rPr>
                  <w:rStyle w:val="Hyperlink"/>
                  <w:b w:val="0"/>
                  <w:color w:val="0000FF"/>
                  <w:szCs w:val="18"/>
                  <w:u w:val="single"/>
                </w:rPr>
                <w:t>http://prevention.odp.idaho.gov/SABG/Provider%20Info.html</w:t>
              </w:r>
            </w:hyperlink>
            <w:r w:rsidRPr="00C92FDD">
              <w:rPr>
                <w:bCs/>
                <w:szCs w:val="18"/>
              </w:rPr>
              <w:t>)</w:t>
            </w:r>
          </w:p>
          <w:p w:rsidR="008F479B" w:rsidRDefault="008F479B" w:rsidP="000F77DE">
            <w:pPr>
              <w:rPr>
                <w:bCs/>
                <w:color w:val="02243C"/>
                <w:szCs w:val="18"/>
              </w:rPr>
            </w:pPr>
          </w:p>
        </w:tc>
        <w:tc>
          <w:tcPr>
            <w:tcW w:w="5310" w:type="dxa"/>
          </w:tcPr>
          <w:p w:rsidR="00AB282B" w:rsidRDefault="00AB282B" w:rsidP="000F77DE">
            <w:pPr>
              <w:rPr>
                <w:b/>
                <w:bCs/>
                <w:color w:val="02243C"/>
                <w:szCs w:val="18"/>
              </w:rPr>
            </w:pPr>
          </w:p>
        </w:tc>
      </w:tr>
      <w:tr w:rsidR="00AB282B" w:rsidTr="00C92FDD">
        <w:tc>
          <w:tcPr>
            <w:tcW w:w="4158" w:type="dxa"/>
          </w:tcPr>
          <w:p w:rsidR="00AB282B" w:rsidRDefault="00A0586B" w:rsidP="000F77DE">
            <w:pPr>
              <w:rPr>
                <w:color w:val="02243C"/>
              </w:rPr>
            </w:pPr>
            <w:r>
              <w:rPr>
                <w:color w:val="02243C"/>
              </w:rPr>
              <w:t>Increase the number of Certified Prevention Specialists from 3 to 12 by June 30, 2017</w:t>
            </w:r>
          </w:p>
          <w:p w:rsidR="00A0586B" w:rsidRPr="000F77DE" w:rsidRDefault="00A0586B" w:rsidP="000F77DE">
            <w:pPr>
              <w:rPr>
                <w:color w:val="02243C"/>
              </w:rPr>
            </w:pPr>
          </w:p>
        </w:tc>
        <w:tc>
          <w:tcPr>
            <w:tcW w:w="5220" w:type="dxa"/>
          </w:tcPr>
          <w:p w:rsidR="00AB282B" w:rsidRDefault="00A0586B" w:rsidP="00A0586B">
            <w:pPr>
              <w:rPr>
                <w:bCs/>
                <w:color w:val="02243C"/>
                <w:szCs w:val="18"/>
              </w:rPr>
            </w:pPr>
            <w:r>
              <w:rPr>
                <w:bCs/>
                <w:color w:val="02243C"/>
                <w:szCs w:val="18"/>
              </w:rPr>
              <w:t xml:space="preserve">Number of number of individuals who were issues a Prevention Specialists Certification by the Idaho Board of Alcohol/Drug Counselor </w:t>
            </w:r>
            <w:r w:rsidR="005E2457">
              <w:rPr>
                <w:bCs/>
                <w:color w:val="02243C"/>
                <w:szCs w:val="18"/>
              </w:rPr>
              <w:t>Certification</w:t>
            </w:r>
          </w:p>
        </w:tc>
        <w:tc>
          <w:tcPr>
            <w:tcW w:w="5310" w:type="dxa"/>
          </w:tcPr>
          <w:p w:rsidR="00AB282B" w:rsidRDefault="00AB282B" w:rsidP="000F77DE">
            <w:pPr>
              <w:rPr>
                <w:b/>
                <w:bCs/>
                <w:color w:val="02243C"/>
                <w:szCs w:val="18"/>
              </w:rPr>
            </w:pPr>
          </w:p>
        </w:tc>
      </w:tr>
      <w:tr w:rsidR="00AB282B" w:rsidTr="00C92FDD">
        <w:tc>
          <w:tcPr>
            <w:tcW w:w="4158" w:type="dxa"/>
          </w:tcPr>
          <w:p w:rsidR="00AB282B" w:rsidRPr="000F77DE" w:rsidRDefault="005E2457" w:rsidP="000F77DE">
            <w:pPr>
              <w:rPr>
                <w:color w:val="02243C"/>
              </w:rPr>
            </w:pPr>
            <w:r>
              <w:rPr>
                <w:color w:val="02243C"/>
              </w:rPr>
              <w:t>Strengthen data collection and evaluation capacity to accurately measure outcomes</w:t>
            </w:r>
          </w:p>
        </w:tc>
        <w:tc>
          <w:tcPr>
            <w:tcW w:w="5220" w:type="dxa"/>
          </w:tcPr>
          <w:p w:rsidR="00AB282B" w:rsidRDefault="005E2457" w:rsidP="000F77DE">
            <w:pPr>
              <w:rPr>
                <w:bCs/>
                <w:color w:val="02243C"/>
                <w:szCs w:val="18"/>
              </w:rPr>
            </w:pPr>
            <w:r>
              <w:rPr>
                <w:bCs/>
                <w:color w:val="02243C"/>
                <w:szCs w:val="18"/>
              </w:rPr>
              <w:t>Percentage of prevention providers trained; Percentage of prevention providers accurately reporting outcome measure in data management syste</w:t>
            </w:r>
            <w:r w:rsidR="00943237">
              <w:rPr>
                <w:bCs/>
                <w:color w:val="02243C"/>
                <w:szCs w:val="18"/>
              </w:rPr>
              <w:t>m</w:t>
            </w:r>
          </w:p>
          <w:p w:rsidR="008F479B" w:rsidRDefault="008F479B" w:rsidP="000F77DE">
            <w:pPr>
              <w:rPr>
                <w:bCs/>
                <w:color w:val="02243C"/>
                <w:szCs w:val="18"/>
              </w:rPr>
            </w:pPr>
          </w:p>
        </w:tc>
        <w:tc>
          <w:tcPr>
            <w:tcW w:w="5310" w:type="dxa"/>
          </w:tcPr>
          <w:p w:rsidR="00AB282B" w:rsidRDefault="00AB282B" w:rsidP="000F77DE">
            <w:pPr>
              <w:rPr>
                <w:b/>
                <w:bCs/>
                <w:color w:val="02243C"/>
                <w:szCs w:val="18"/>
              </w:rPr>
            </w:pPr>
          </w:p>
        </w:tc>
      </w:tr>
      <w:tr w:rsidR="00ED77C9" w:rsidTr="00C92FDD">
        <w:tc>
          <w:tcPr>
            <w:tcW w:w="4158" w:type="dxa"/>
          </w:tcPr>
          <w:p w:rsidR="00ED77C9" w:rsidRDefault="00ED77C9" w:rsidP="000F77DE">
            <w:pPr>
              <w:rPr>
                <w:color w:val="02243C"/>
              </w:rPr>
            </w:pPr>
            <w:r w:rsidRPr="000F77DE">
              <w:rPr>
                <w:color w:val="02243C"/>
              </w:rPr>
              <w:t>Increase the number of Behavioral Health Crisis Centers to a total of three</w:t>
            </w:r>
          </w:p>
          <w:p w:rsidR="00A7596E" w:rsidRDefault="00A7596E" w:rsidP="000F77DE">
            <w:pPr>
              <w:rPr>
                <w:b/>
                <w:bCs/>
                <w:color w:val="02243C"/>
                <w:szCs w:val="18"/>
              </w:rPr>
            </w:pPr>
          </w:p>
        </w:tc>
        <w:tc>
          <w:tcPr>
            <w:tcW w:w="5220" w:type="dxa"/>
          </w:tcPr>
          <w:p w:rsidR="00ED77C9" w:rsidRPr="00ED77C9" w:rsidRDefault="0063497C" w:rsidP="000F77DE">
            <w:pPr>
              <w:rPr>
                <w:bCs/>
                <w:color w:val="02243C"/>
                <w:szCs w:val="18"/>
              </w:rPr>
            </w:pPr>
            <w:r>
              <w:rPr>
                <w:bCs/>
                <w:color w:val="02243C"/>
                <w:szCs w:val="18"/>
              </w:rPr>
              <w:t>Activities to support the development of</w:t>
            </w:r>
            <w:r w:rsidR="00ED77C9">
              <w:rPr>
                <w:bCs/>
                <w:color w:val="02243C"/>
                <w:szCs w:val="18"/>
              </w:rPr>
              <w:t xml:space="preserve"> Crisis Centers and Crisis Response Activities</w:t>
            </w:r>
          </w:p>
        </w:tc>
        <w:tc>
          <w:tcPr>
            <w:tcW w:w="5310" w:type="dxa"/>
          </w:tcPr>
          <w:p w:rsidR="00ED77C9" w:rsidRDefault="00ED77C9" w:rsidP="000F77DE">
            <w:pPr>
              <w:rPr>
                <w:b/>
                <w:bCs/>
                <w:color w:val="02243C"/>
                <w:szCs w:val="18"/>
              </w:rPr>
            </w:pPr>
          </w:p>
        </w:tc>
      </w:tr>
      <w:tr w:rsidR="00ED77C9" w:rsidTr="00C92FDD">
        <w:tc>
          <w:tcPr>
            <w:tcW w:w="4158" w:type="dxa"/>
          </w:tcPr>
          <w:p w:rsidR="00ED77C9" w:rsidRDefault="00ED77C9" w:rsidP="000F77DE">
            <w:pPr>
              <w:rPr>
                <w:bCs/>
                <w:color w:val="02243C"/>
                <w:szCs w:val="18"/>
              </w:rPr>
            </w:pPr>
            <w:r w:rsidRPr="00ED77C9">
              <w:rPr>
                <w:bCs/>
                <w:color w:val="02243C"/>
                <w:szCs w:val="18"/>
              </w:rPr>
              <w:t>Implement the Child and Adolescent Need and Strengths (CANS) assessment tool.</w:t>
            </w:r>
          </w:p>
          <w:p w:rsidR="00A7596E" w:rsidRPr="00ED77C9" w:rsidRDefault="00A7596E" w:rsidP="000F77DE">
            <w:pPr>
              <w:rPr>
                <w:bCs/>
                <w:color w:val="02243C"/>
                <w:szCs w:val="18"/>
              </w:rPr>
            </w:pPr>
          </w:p>
        </w:tc>
        <w:tc>
          <w:tcPr>
            <w:tcW w:w="5220" w:type="dxa"/>
          </w:tcPr>
          <w:p w:rsidR="00ED77C9" w:rsidRPr="00ED77C9" w:rsidRDefault="0063497C" w:rsidP="009D7C49">
            <w:pPr>
              <w:rPr>
                <w:bCs/>
                <w:color w:val="02243C"/>
                <w:szCs w:val="18"/>
              </w:rPr>
            </w:pPr>
            <w:r>
              <w:rPr>
                <w:bCs/>
                <w:color w:val="02243C"/>
                <w:szCs w:val="18"/>
              </w:rPr>
              <w:t>Activities to implement</w:t>
            </w:r>
            <w:r w:rsidR="008F479B">
              <w:rPr>
                <w:bCs/>
                <w:color w:val="02243C"/>
                <w:szCs w:val="18"/>
              </w:rPr>
              <w:t xml:space="preserve"> the</w:t>
            </w:r>
            <w:r>
              <w:rPr>
                <w:bCs/>
                <w:color w:val="02243C"/>
                <w:szCs w:val="18"/>
              </w:rPr>
              <w:t xml:space="preserve"> </w:t>
            </w:r>
            <w:r w:rsidR="00ED77C9">
              <w:rPr>
                <w:bCs/>
                <w:color w:val="02243C"/>
                <w:szCs w:val="18"/>
              </w:rPr>
              <w:t xml:space="preserve">CANS </w:t>
            </w:r>
            <w:r w:rsidR="008F479B">
              <w:rPr>
                <w:bCs/>
                <w:color w:val="02243C"/>
                <w:szCs w:val="18"/>
              </w:rPr>
              <w:t xml:space="preserve">tool </w:t>
            </w:r>
            <w:r w:rsidR="009D7C49">
              <w:rPr>
                <w:bCs/>
                <w:color w:val="02243C"/>
                <w:szCs w:val="18"/>
              </w:rPr>
              <w:t>in each region</w:t>
            </w:r>
          </w:p>
        </w:tc>
        <w:tc>
          <w:tcPr>
            <w:tcW w:w="5310" w:type="dxa"/>
          </w:tcPr>
          <w:p w:rsidR="00ED77C9" w:rsidRDefault="00ED77C9" w:rsidP="000F77DE">
            <w:pPr>
              <w:rPr>
                <w:b/>
                <w:bCs/>
                <w:color w:val="02243C"/>
                <w:szCs w:val="18"/>
              </w:rPr>
            </w:pPr>
          </w:p>
        </w:tc>
      </w:tr>
      <w:tr w:rsidR="00ED77C9" w:rsidTr="00C92FDD">
        <w:tc>
          <w:tcPr>
            <w:tcW w:w="4158" w:type="dxa"/>
          </w:tcPr>
          <w:p w:rsidR="00ED77C9" w:rsidRDefault="00ED77C9" w:rsidP="000F77DE">
            <w:pPr>
              <w:rPr>
                <w:color w:val="02243C"/>
              </w:rPr>
            </w:pPr>
            <w:r w:rsidRPr="000C0FF1">
              <w:rPr>
                <w:color w:val="02243C"/>
              </w:rPr>
              <w:t>Increase access to respite care services for families with children with S</w:t>
            </w:r>
            <w:r w:rsidR="008F479B">
              <w:rPr>
                <w:color w:val="02243C"/>
              </w:rPr>
              <w:t xml:space="preserve">erious </w:t>
            </w:r>
            <w:r w:rsidRPr="000C0FF1">
              <w:rPr>
                <w:color w:val="02243C"/>
              </w:rPr>
              <w:t>E</w:t>
            </w:r>
            <w:r w:rsidR="008F479B">
              <w:rPr>
                <w:color w:val="02243C"/>
              </w:rPr>
              <w:t xml:space="preserve">motional </w:t>
            </w:r>
            <w:r w:rsidRPr="000C0FF1">
              <w:rPr>
                <w:color w:val="02243C"/>
              </w:rPr>
              <w:t>D</w:t>
            </w:r>
            <w:r w:rsidR="008F479B">
              <w:rPr>
                <w:color w:val="02243C"/>
              </w:rPr>
              <w:t>isturbances</w:t>
            </w:r>
          </w:p>
          <w:p w:rsidR="00A7596E" w:rsidRDefault="00A7596E" w:rsidP="000F77DE">
            <w:pPr>
              <w:rPr>
                <w:b/>
                <w:bCs/>
                <w:color w:val="02243C"/>
                <w:szCs w:val="18"/>
              </w:rPr>
            </w:pPr>
          </w:p>
        </w:tc>
        <w:tc>
          <w:tcPr>
            <w:tcW w:w="5220" w:type="dxa"/>
          </w:tcPr>
          <w:p w:rsidR="00ED77C9" w:rsidRPr="0063497C" w:rsidRDefault="0063497C" w:rsidP="009D7C49">
            <w:pPr>
              <w:rPr>
                <w:bCs/>
                <w:color w:val="02243C"/>
                <w:szCs w:val="18"/>
              </w:rPr>
            </w:pPr>
            <w:r>
              <w:rPr>
                <w:bCs/>
                <w:color w:val="02243C"/>
                <w:szCs w:val="18"/>
              </w:rPr>
              <w:t>Activities to identify respite care providers and connect consumers with this resource</w:t>
            </w:r>
            <w:r w:rsidR="009D7C49">
              <w:rPr>
                <w:bCs/>
                <w:color w:val="02243C"/>
                <w:szCs w:val="18"/>
              </w:rPr>
              <w:t>; Identification of additional training needs for peer and family support specialists</w:t>
            </w:r>
          </w:p>
        </w:tc>
        <w:tc>
          <w:tcPr>
            <w:tcW w:w="5310" w:type="dxa"/>
          </w:tcPr>
          <w:p w:rsidR="00ED77C9" w:rsidRDefault="00ED77C9" w:rsidP="000F77DE">
            <w:pPr>
              <w:rPr>
                <w:b/>
                <w:bCs/>
                <w:color w:val="02243C"/>
                <w:szCs w:val="18"/>
              </w:rPr>
            </w:pPr>
          </w:p>
        </w:tc>
      </w:tr>
      <w:tr w:rsidR="008F479B" w:rsidTr="00C92FDD">
        <w:tc>
          <w:tcPr>
            <w:tcW w:w="4158" w:type="dxa"/>
          </w:tcPr>
          <w:p w:rsidR="008F479B" w:rsidRDefault="008F479B" w:rsidP="002D43ED">
            <w:pPr>
              <w:rPr>
                <w:bCs/>
                <w:color w:val="02243C"/>
                <w:szCs w:val="18"/>
              </w:rPr>
            </w:pPr>
            <w:r>
              <w:rPr>
                <w:bCs/>
                <w:color w:val="02243C"/>
                <w:szCs w:val="18"/>
              </w:rPr>
              <w:t>Screen and refer consumers at high risk for TB to medical testing/care</w:t>
            </w:r>
          </w:p>
          <w:p w:rsidR="008F479B" w:rsidRPr="0063497C" w:rsidRDefault="008F479B" w:rsidP="002D43ED">
            <w:pPr>
              <w:rPr>
                <w:bCs/>
                <w:color w:val="02243C"/>
                <w:szCs w:val="18"/>
              </w:rPr>
            </w:pPr>
          </w:p>
        </w:tc>
        <w:tc>
          <w:tcPr>
            <w:tcW w:w="5220" w:type="dxa"/>
          </w:tcPr>
          <w:p w:rsidR="008F479B" w:rsidRPr="007725C8" w:rsidRDefault="008F479B" w:rsidP="002D43ED">
            <w:pPr>
              <w:rPr>
                <w:bCs/>
                <w:color w:val="02243C"/>
                <w:szCs w:val="18"/>
              </w:rPr>
            </w:pPr>
            <w:r>
              <w:rPr>
                <w:bCs/>
                <w:color w:val="02243C"/>
                <w:szCs w:val="18"/>
              </w:rPr>
              <w:t>Activities to identify individuals at risk for TB and refer to medical care</w:t>
            </w:r>
          </w:p>
        </w:tc>
        <w:tc>
          <w:tcPr>
            <w:tcW w:w="5310" w:type="dxa"/>
          </w:tcPr>
          <w:p w:rsidR="008F479B" w:rsidRDefault="008F479B" w:rsidP="002D43ED">
            <w:pPr>
              <w:rPr>
                <w:b/>
                <w:bCs/>
                <w:color w:val="02243C"/>
                <w:szCs w:val="18"/>
              </w:rPr>
            </w:pPr>
          </w:p>
        </w:tc>
      </w:tr>
      <w:tr w:rsidR="00BE15C9" w:rsidTr="002D43ED">
        <w:tc>
          <w:tcPr>
            <w:tcW w:w="4158" w:type="dxa"/>
          </w:tcPr>
          <w:p w:rsidR="00BE15C9" w:rsidRDefault="00BE15C9" w:rsidP="002D43ED">
            <w:pPr>
              <w:rPr>
                <w:color w:val="02243C"/>
              </w:rPr>
            </w:pPr>
            <w:r w:rsidRPr="000C0FF1">
              <w:rPr>
                <w:color w:val="02243C"/>
              </w:rPr>
              <w:t>Regional Behavioral Health Boards (RBHB) to functional boards</w:t>
            </w:r>
          </w:p>
          <w:p w:rsidR="00BE15C9" w:rsidRDefault="00BE15C9" w:rsidP="002D43ED">
            <w:pPr>
              <w:rPr>
                <w:b/>
                <w:bCs/>
                <w:color w:val="02243C"/>
                <w:szCs w:val="18"/>
              </w:rPr>
            </w:pPr>
          </w:p>
        </w:tc>
        <w:tc>
          <w:tcPr>
            <w:tcW w:w="5220" w:type="dxa"/>
          </w:tcPr>
          <w:p w:rsidR="00BE15C9" w:rsidRPr="007725C8" w:rsidRDefault="00BE15C9" w:rsidP="002D43ED">
            <w:pPr>
              <w:rPr>
                <w:bCs/>
                <w:color w:val="02243C"/>
                <w:szCs w:val="18"/>
              </w:rPr>
            </w:pPr>
            <w:r w:rsidRPr="007725C8">
              <w:rPr>
                <w:bCs/>
                <w:color w:val="02243C"/>
                <w:szCs w:val="18"/>
              </w:rPr>
              <w:t>Status of the RBHB in each region</w:t>
            </w:r>
            <w:r>
              <w:rPr>
                <w:bCs/>
                <w:color w:val="02243C"/>
                <w:szCs w:val="18"/>
              </w:rPr>
              <w:t>; technical assistance needs</w:t>
            </w:r>
          </w:p>
        </w:tc>
        <w:tc>
          <w:tcPr>
            <w:tcW w:w="5310" w:type="dxa"/>
          </w:tcPr>
          <w:p w:rsidR="00BE15C9" w:rsidRDefault="00BE15C9" w:rsidP="002D43ED">
            <w:pPr>
              <w:rPr>
                <w:b/>
                <w:bCs/>
                <w:color w:val="02243C"/>
                <w:szCs w:val="18"/>
              </w:rPr>
            </w:pPr>
          </w:p>
        </w:tc>
      </w:tr>
      <w:tr w:rsidR="00ED77C9" w:rsidTr="00C92FDD">
        <w:tc>
          <w:tcPr>
            <w:tcW w:w="4158" w:type="dxa"/>
          </w:tcPr>
          <w:p w:rsidR="00A7596E" w:rsidRDefault="00A7596E" w:rsidP="008F479B">
            <w:pPr>
              <w:rPr>
                <w:color w:val="02243C"/>
              </w:rPr>
            </w:pPr>
            <w:r>
              <w:rPr>
                <w:color w:val="02243C"/>
              </w:rPr>
              <w:lastRenderedPageBreak/>
              <w:t>I</w:t>
            </w:r>
            <w:r w:rsidR="00ED77C9" w:rsidRPr="000C0FF1">
              <w:rPr>
                <w:color w:val="02243C"/>
              </w:rPr>
              <w:t xml:space="preserve">mplement a state certification for Peer Specialists and increase the number of trained and certified peer </w:t>
            </w:r>
            <w:r w:rsidR="00ED77C9">
              <w:rPr>
                <w:color w:val="02243C"/>
              </w:rPr>
              <w:t xml:space="preserve">support </w:t>
            </w:r>
            <w:r w:rsidR="00ED77C9" w:rsidRPr="000C0FF1">
              <w:rPr>
                <w:color w:val="02243C"/>
              </w:rPr>
              <w:t>specialists in Idaho</w:t>
            </w:r>
          </w:p>
          <w:p w:rsidR="008F479B" w:rsidRDefault="008F479B" w:rsidP="008F479B">
            <w:pPr>
              <w:rPr>
                <w:b/>
                <w:bCs/>
                <w:color w:val="02243C"/>
                <w:szCs w:val="18"/>
              </w:rPr>
            </w:pPr>
          </w:p>
        </w:tc>
        <w:tc>
          <w:tcPr>
            <w:tcW w:w="5220" w:type="dxa"/>
          </w:tcPr>
          <w:p w:rsidR="00ED77C9" w:rsidRPr="00ED77C9" w:rsidRDefault="0063497C" w:rsidP="0063497C">
            <w:pPr>
              <w:rPr>
                <w:bCs/>
                <w:color w:val="02243C"/>
                <w:szCs w:val="18"/>
              </w:rPr>
            </w:pPr>
            <w:r>
              <w:rPr>
                <w:bCs/>
                <w:color w:val="02243C"/>
                <w:szCs w:val="18"/>
              </w:rPr>
              <w:t xml:space="preserve">Activities to provide potential peers with information about upcoming trainings; </w:t>
            </w:r>
          </w:p>
        </w:tc>
        <w:tc>
          <w:tcPr>
            <w:tcW w:w="5310" w:type="dxa"/>
          </w:tcPr>
          <w:p w:rsidR="00ED77C9" w:rsidRDefault="00ED77C9" w:rsidP="000F77DE">
            <w:pPr>
              <w:rPr>
                <w:b/>
                <w:bCs/>
                <w:color w:val="02243C"/>
                <w:szCs w:val="18"/>
              </w:rPr>
            </w:pPr>
          </w:p>
        </w:tc>
      </w:tr>
      <w:tr w:rsidR="00A7596E" w:rsidTr="00C92FDD">
        <w:tc>
          <w:tcPr>
            <w:tcW w:w="4158" w:type="dxa"/>
          </w:tcPr>
          <w:p w:rsidR="00A7596E" w:rsidRDefault="00A7596E" w:rsidP="00A7596E">
            <w:pPr>
              <w:rPr>
                <w:color w:val="02243C"/>
              </w:rPr>
            </w:pPr>
            <w:r w:rsidRPr="000C0FF1">
              <w:rPr>
                <w:color w:val="02243C"/>
              </w:rPr>
              <w:t>Evaluate the impact of high utilization of services inclu</w:t>
            </w:r>
            <w:r w:rsidR="009D7C49">
              <w:rPr>
                <w:color w:val="02243C"/>
              </w:rPr>
              <w:t xml:space="preserve">ding inpatient and outpatient </w:t>
            </w:r>
            <w:r w:rsidRPr="000C0FF1">
              <w:rPr>
                <w:color w:val="02243C"/>
              </w:rPr>
              <w:t>and identify system improvements</w:t>
            </w:r>
          </w:p>
          <w:p w:rsidR="00A7596E" w:rsidRDefault="00A7596E" w:rsidP="00A7596E"/>
        </w:tc>
        <w:tc>
          <w:tcPr>
            <w:tcW w:w="5220" w:type="dxa"/>
          </w:tcPr>
          <w:p w:rsidR="00A7596E" w:rsidRDefault="00A7596E" w:rsidP="009D7C49">
            <w:pPr>
              <w:rPr>
                <w:bCs/>
                <w:color w:val="02243C"/>
                <w:szCs w:val="18"/>
              </w:rPr>
            </w:pPr>
            <w:r>
              <w:rPr>
                <w:bCs/>
                <w:color w:val="02243C"/>
                <w:szCs w:val="18"/>
              </w:rPr>
              <w:t xml:space="preserve">Activities to </w:t>
            </w:r>
            <w:r w:rsidRPr="000C0FF1">
              <w:rPr>
                <w:color w:val="02243C"/>
              </w:rPr>
              <w:t>identify system improvements</w:t>
            </w:r>
            <w:r w:rsidR="009D7C49">
              <w:rPr>
                <w:color w:val="02243C"/>
              </w:rPr>
              <w:t>/ ideas to improve services to meet the needs of</w:t>
            </w:r>
            <w:r>
              <w:rPr>
                <w:color w:val="02243C"/>
              </w:rPr>
              <w:t xml:space="preserve"> high utilization clients</w:t>
            </w:r>
          </w:p>
        </w:tc>
        <w:tc>
          <w:tcPr>
            <w:tcW w:w="5310" w:type="dxa"/>
          </w:tcPr>
          <w:p w:rsidR="00A7596E" w:rsidRDefault="00A7596E" w:rsidP="000F77DE">
            <w:pPr>
              <w:rPr>
                <w:b/>
                <w:bCs/>
                <w:color w:val="02243C"/>
                <w:szCs w:val="18"/>
              </w:rPr>
            </w:pPr>
          </w:p>
        </w:tc>
      </w:tr>
      <w:tr w:rsidR="00ED77C9" w:rsidTr="00C92FDD">
        <w:tc>
          <w:tcPr>
            <w:tcW w:w="4158" w:type="dxa"/>
          </w:tcPr>
          <w:p w:rsidR="00ED77C9" w:rsidRDefault="00ED77C9" w:rsidP="0063497C">
            <w:r>
              <w:t>Provide</w:t>
            </w:r>
            <w:r w:rsidRPr="007B0D74">
              <w:t xml:space="preserve"> education regarding the </w:t>
            </w:r>
            <w:r w:rsidRPr="007B0D74">
              <w:rPr>
                <w:rStyle w:val="Emphasis"/>
                <w:b w:val="0"/>
                <w:lang w:val="en"/>
              </w:rPr>
              <w:t>Mental Health Parity and Addiction Equity</w:t>
            </w:r>
            <w:r w:rsidRPr="007B0D74">
              <w:rPr>
                <w:rStyle w:val="Emphasis"/>
                <w:lang w:val="en"/>
              </w:rPr>
              <w:t xml:space="preserve"> </w:t>
            </w:r>
            <w:r w:rsidRPr="007B0D74">
              <w:rPr>
                <w:rStyle w:val="Emphasis"/>
                <w:b w:val="0"/>
                <w:lang w:val="en"/>
              </w:rPr>
              <w:t>Act</w:t>
            </w:r>
            <w:r w:rsidRPr="007B0D74">
              <w:rPr>
                <w:rStyle w:val="st1"/>
                <w:b/>
                <w:lang w:val="en"/>
              </w:rPr>
              <w:t xml:space="preserve"> </w:t>
            </w:r>
            <w:r w:rsidRPr="007B0D74">
              <w:rPr>
                <w:rStyle w:val="st1"/>
                <w:lang w:val="en"/>
              </w:rPr>
              <w:t>(</w:t>
            </w:r>
            <w:r w:rsidRPr="007B0D74">
              <w:t xml:space="preserve">MHPAEA) in </w:t>
            </w:r>
            <w:r w:rsidR="0063497C">
              <w:t>Idaho</w:t>
            </w:r>
            <w:r w:rsidRPr="007B0D74">
              <w:t>.</w:t>
            </w:r>
          </w:p>
          <w:p w:rsidR="00A7596E" w:rsidRDefault="00A7596E" w:rsidP="0063497C">
            <w:pPr>
              <w:rPr>
                <w:b/>
                <w:bCs/>
                <w:color w:val="02243C"/>
                <w:szCs w:val="18"/>
              </w:rPr>
            </w:pPr>
          </w:p>
        </w:tc>
        <w:tc>
          <w:tcPr>
            <w:tcW w:w="5220" w:type="dxa"/>
          </w:tcPr>
          <w:p w:rsidR="00ED77C9" w:rsidRPr="007725C8" w:rsidRDefault="007725C8" w:rsidP="000F77DE">
            <w:pPr>
              <w:rPr>
                <w:bCs/>
                <w:color w:val="02243C"/>
                <w:szCs w:val="18"/>
              </w:rPr>
            </w:pPr>
            <w:r>
              <w:rPr>
                <w:bCs/>
                <w:color w:val="02243C"/>
                <w:szCs w:val="18"/>
              </w:rPr>
              <w:t>Activities to educate consumers/the public on MHPAEA.</w:t>
            </w:r>
          </w:p>
        </w:tc>
        <w:tc>
          <w:tcPr>
            <w:tcW w:w="5310" w:type="dxa"/>
          </w:tcPr>
          <w:p w:rsidR="00ED77C9" w:rsidRDefault="00ED77C9" w:rsidP="000F77DE">
            <w:pPr>
              <w:rPr>
                <w:b/>
                <w:bCs/>
                <w:color w:val="02243C"/>
                <w:szCs w:val="18"/>
              </w:rPr>
            </w:pPr>
          </w:p>
        </w:tc>
      </w:tr>
      <w:tr w:rsidR="00ED77C9" w:rsidTr="00C92FDD">
        <w:tc>
          <w:tcPr>
            <w:tcW w:w="4158" w:type="dxa"/>
          </w:tcPr>
          <w:p w:rsidR="00ED77C9" w:rsidRDefault="007725C8" w:rsidP="000F77DE">
            <w:pPr>
              <w:rPr>
                <w:color w:val="02243C"/>
              </w:rPr>
            </w:pPr>
            <w:r w:rsidRPr="000C0FF1">
              <w:rPr>
                <w:color w:val="02243C"/>
              </w:rPr>
              <w:t>Integration of behavioral health and primary care.</w:t>
            </w:r>
          </w:p>
          <w:p w:rsidR="00A7596E" w:rsidRDefault="00A7596E" w:rsidP="000F77DE">
            <w:pPr>
              <w:rPr>
                <w:b/>
                <w:bCs/>
                <w:color w:val="02243C"/>
                <w:szCs w:val="18"/>
              </w:rPr>
            </w:pPr>
          </w:p>
        </w:tc>
        <w:tc>
          <w:tcPr>
            <w:tcW w:w="5220" w:type="dxa"/>
          </w:tcPr>
          <w:p w:rsidR="00ED77C9" w:rsidRPr="007725C8" w:rsidRDefault="007725C8" w:rsidP="000F77DE">
            <w:pPr>
              <w:rPr>
                <w:bCs/>
                <w:color w:val="02243C"/>
                <w:szCs w:val="18"/>
              </w:rPr>
            </w:pPr>
            <w:r w:rsidRPr="007725C8">
              <w:rPr>
                <w:bCs/>
                <w:color w:val="02243C"/>
                <w:szCs w:val="18"/>
              </w:rPr>
              <w:t>Activities to integrate/coordinate behavioral and primary health care</w:t>
            </w:r>
          </w:p>
        </w:tc>
        <w:tc>
          <w:tcPr>
            <w:tcW w:w="5310" w:type="dxa"/>
          </w:tcPr>
          <w:p w:rsidR="00ED77C9" w:rsidRDefault="00ED77C9" w:rsidP="000F77DE">
            <w:pPr>
              <w:rPr>
                <w:b/>
                <w:bCs/>
                <w:color w:val="02243C"/>
                <w:szCs w:val="18"/>
              </w:rPr>
            </w:pPr>
          </w:p>
        </w:tc>
      </w:tr>
      <w:tr w:rsidR="00ED77C9" w:rsidTr="00C92FDD">
        <w:tc>
          <w:tcPr>
            <w:tcW w:w="4158" w:type="dxa"/>
          </w:tcPr>
          <w:p w:rsidR="00A7596E" w:rsidRDefault="007725C8" w:rsidP="001D38C0">
            <w:pPr>
              <w:rPr>
                <w:color w:val="02243C"/>
              </w:rPr>
            </w:pPr>
            <w:r w:rsidRPr="00591C7C">
              <w:rPr>
                <w:color w:val="02243C"/>
              </w:rPr>
              <w:t>Ensure behavioral health services are implemented in accordance with Olmstead and Title II of the A</w:t>
            </w:r>
            <w:r w:rsidR="008F479B">
              <w:rPr>
                <w:color w:val="02243C"/>
              </w:rPr>
              <w:t xml:space="preserve">mericans with </w:t>
            </w:r>
            <w:r w:rsidRPr="00591C7C">
              <w:rPr>
                <w:color w:val="02243C"/>
              </w:rPr>
              <w:t>D</w:t>
            </w:r>
            <w:r w:rsidR="008F479B">
              <w:rPr>
                <w:color w:val="02243C"/>
              </w:rPr>
              <w:t xml:space="preserve">isabilities </w:t>
            </w:r>
            <w:r w:rsidRPr="00591C7C">
              <w:rPr>
                <w:color w:val="02243C"/>
              </w:rPr>
              <w:t>A</w:t>
            </w:r>
            <w:r w:rsidR="008F479B">
              <w:rPr>
                <w:color w:val="02243C"/>
              </w:rPr>
              <w:t>ct</w:t>
            </w:r>
            <w:r w:rsidRPr="00591C7C">
              <w:rPr>
                <w:color w:val="02243C"/>
              </w:rPr>
              <w:t>.</w:t>
            </w:r>
          </w:p>
          <w:p w:rsidR="008F479B" w:rsidRDefault="008F479B" w:rsidP="001D38C0">
            <w:pPr>
              <w:rPr>
                <w:b/>
                <w:bCs/>
                <w:color w:val="02243C"/>
                <w:szCs w:val="18"/>
              </w:rPr>
            </w:pPr>
          </w:p>
        </w:tc>
        <w:tc>
          <w:tcPr>
            <w:tcW w:w="5220" w:type="dxa"/>
          </w:tcPr>
          <w:p w:rsidR="00ED77C9" w:rsidRPr="007725C8" w:rsidRDefault="007725C8" w:rsidP="007725C8">
            <w:pPr>
              <w:rPr>
                <w:bCs/>
                <w:color w:val="02243C"/>
                <w:szCs w:val="18"/>
              </w:rPr>
            </w:pPr>
            <w:r>
              <w:rPr>
                <w:bCs/>
                <w:color w:val="02243C"/>
                <w:szCs w:val="18"/>
              </w:rPr>
              <w:t xml:space="preserve">Activities to facilitate </w:t>
            </w:r>
            <w:r>
              <w:rPr>
                <w:rStyle w:val="santext"/>
                <w:rFonts w:ascii="Arial" w:hAnsi="Arial" w:cs="Arial"/>
                <w:color w:val="000000"/>
              </w:rPr>
              <w:t xml:space="preserve">community </w:t>
            </w:r>
            <w:r w:rsidRPr="007725C8">
              <w:rPr>
                <w:rStyle w:val="santext"/>
                <w:color w:val="000000"/>
              </w:rPr>
              <w:t>integration for people with behavioral health disorders</w:t>
            </w:r>
          </w:p>
        </w:tc>
        <w:tc>
          <w:tcPr>
            <w:tcW w:w="5310" w:type="dxa"/>
          </w:tcPr>
          <w:p w:rsidR="00ED77C9" w:rsidRDefault="00ED77C9" w:rsidP="000F77DE">
            <w:pPr>
              <w:rPr>
                <w:b/>
                <w:bCs/>
                <w:color w:val="02243C"/>
                <w:szCs w:val="18"/>
              </w:rPr>
            </w:pPr>
          </w:p>
        </w:tc>
      </w:tr>
      <w:tr w:rsidR="00ED77C9" w:rsidTr="00C92FDD">
        <w:tc>
          <w:tcPr>
            <w:tcW w:w="4158" w:type="dxa"/>
          </w:tcPr>
          <w:p w:rsidR="00ED77C9" w:rsidRDefault="007725C8" w:rsidP="007725C8">
            <w:pPr>
              <w:rPr>
                <w:b/>
                <w:bCs/>
                <w:color w:val="02243C"/>
                <w:szCs w:val="18"/>
              </w:rPr>
            </w:pPr>
            <w:r>
              <w:t>Refer to services/serve</w:t>
            </w:r>
            <w:r w:rsidRPr="00D7344D">
              <w:t xml:space="preserve"> pregnant women </w:t>
            </w:r>
            <w:r>
              <w:t>in need of substance use disorders services</w:t>
            </w:r>
          </w:p>
        </w:tc>
        <w:tc>
          <w:tcPr>
            <w:tcW w:w="5220" w:type="dxa"/>
          </w:tcPr>
          <w:p w:rsidR="00ED77C9" w:rsidRDefault="007725C8" w:rsidP="007725C8">
            <w:pPr>
              <w:rPr>
                <w:bCs/>
                <w:color w:val="02243C"/>
                <w:szCs w:val="18"/>
              </w:rPr>
            </w:pPr>
            <w:r>
              <w:rPr>
                <w:bCs/>
                <w:color w:val="02243C"/>
                <w:szCs w:val="18"/>
              </w:rPr>
              <w:t>Activities to refer pregnant women with with substance use disorders</w:t>
            </w:r>
            <w:r w:rsidR="005B6BDA">
              <w:rPr>
                <w:bCs/>
                <w:color w:val="02243C"/>
                <w:szCs w:val="18"/>
              </w:rPr>
              <w:t xml:space="preserve"> (SUD)</w:t>
            </w:r>
            <w:r>
              <w:rPr>
                <w:bCs/>
                <w:color w:val="02243C"/>
                <w:szCs w:val="18"/>
              </w:rPr>
              <w:t xml:space="preserve">, or co-occurring mental health/substance use disorders to </w:t>
            </w:r>
            <w:r w:rsidR="005B6BDA">
              <w:rPr>
                <w:bCs/>
                <w:color w:val="02243C"/>
                <w:szCs w:val="18"/>
              </w:rPr>
              <w:t>SUD services</w:t>
            </w:r>
          </w:p>
          <w:p w:rsidR="008F479B" w:rsidRPr="007725C8" w:rsidRDefault="008F479B" w:rsidP="007725C8">
            <w:pPr>
              <w:rPr>
                <w:bCs/>
                <w:color w:val="02243C"/>
                <w:szCs w:val="18"/>
              </w:rPr>
            </w:pPr>
          </w:p>
        </w:tc>
        <w:tc>
          <w:tcPr>
            <w:tcW w:w="5310" w:type="dxa"/>
          </w:tcPr>
          <w:p w:rsidR="00ED77C9" w:rsidRDefault="00ED77C9" w:rsidP="000F77DE">
            <w:pPr>
              <w:rPr>
                <w:b/>
                <w:bCs/>
                <w:color w:val="02243C"/>
                <w:szCs w:val="18"/>
              </w:rPr>
            </w:pPr>
          </w:p>
        </w:tc>
      </w:tr>
      <w:tr w:rsidR="00ED77C9" w:rsidTr="00C92FDD">
        <w:tc>
          <w:tcPr>
            <w:tcW w:w="4158" w:type="dxa"/>
          </w:tcPr>
          <w:p w:rsidR="00A7596E" w:rsidRDefault="005B6BDA" w:rsidP="008F479B">
            <w:pPr>
              <w:rPr>
                <w:bCs/>
                <w:color w:val="02243C"/>
                <w:szCs w:val="18"/>
              </w:rPr>
            </w:pPr>
            <w:r>
              <w:rPr>
                <w:bCs/>
                <w:color w:val="02243C"/>
                <w:szCs w:val="18"/>
              </w:rPr>
              <w:t>Provide specialized SUD recovery services (PWWDC) to women and their dependent children throughout Idaho.</w:t>
            </w:r>
            <w:r w:rsidR="008F479B">
              <w:rPr>
                <w:bCs/>
                <w:color w:val="02243C"/>
                <w:szCs w:val="18"/>
              </w:rPr>
              <w:t xml:space="preserve"> </w:t>
            </w:r>
            <w:r w:rsidR="008E0466">
              <w:rPr>
                <w:bCs/>
                <w:color w:val="02243C"/>
                <w:szCs w:val="18"/>
              </w:rPr>
              <w:t xml:space="preserve">(includes developmental and </w:t>
            </w:r>
            <w:r w:rsidR="00390E2B">
              <w:rPr>
                <w:bCs/>
                <w:color w:val="02243C"/>
                <w:szCs w:val="18"/>
              </w:rPr>
              <w:t xml:space="preserve">mental health </w:t>
            </w:r>
            <w:r w:rsidR="008E0466">
              <w:rPr>
                <w:bCs/>
                <w:color w:val="02243C"/>
                <w:szCs w:val="18"/>
              </w:rPr>
              <w:t>needs of children)</w:t>
            </w:r>
          </w:p>
          <w:p w:rsidR="008F479B" w:rsidRPr="005B6BDA" w:rsidRDefault="008F479B" w:rsidP="008F479B">
            <w:pPr>
              <w:rPr>
                <w:bCs/>
                <w:color w:val="02243C"/>
                <w:szCs w:val="18"/>
              </w:rPr>
            </w:pPr>
          </w:p>
        </w:tc>
        <w:tc>
          <w:tcPr>
            <w:tcW w:w="5220" w:type="dxa"/>
          </w:tcPr>
          <w:p w:rsidR="00ED77C9" w:rsidRPr="007725C8" w:rsidRDefault="005B6BDA" w:rsidP="005B6BDA">
            <w:pPr>
              <w:rPr>
                <w:bCs/>
                <w:color w:val="02243C"/>
                <w:szCs w:val="18"/>
              </w:rPr>
            </w:pPr>
            <w:r>
              <w:rPr>
                <w:bCs/>
                <w:color w:val="02243C"/>
                <w:szCs w:val="18"/>
              </w:rPr>
              <w:t>Activities to work with specialty PWWDC providers to ensure women and children receiv</w:t>
            </w:r>
            <w:r w:rsidR="006D3D4D">
              <w:rPr>
                <w:bCs/>
                <w:color w:val="02243C"/>
                <w:szCs w:val="18"/>
              </w:rPr>
              <w:t>e all services needed to support a full recovery</w:t>
            </w:r>
          </w:p>
        </w:tc>
        <w:tc>
          <w:tcPr>
            <w:tcW w:w="5310" w:type="dxa"/>
          </w:tcPr>
          <w:p w:rsidR="00ED77C9" w:rsidRDefault="00ED77C9" w:rsidP="000F77DE">
            <w:pPr>
              <w:rPr>
                <w:b/>
                <w:bCs/>
                <w:color w:val="02243C"/>
                <w:szCs w:val="18"/>
              </w:rPr>
            </w:pPr>
          </w:p>
        </w:tc>
      </w:tr>
      <w:tr w:rsidR="00ED77C9" w:rsidTr="00C92FDD">
        <w:tc>
          <w:tcPr>
            <w:tcW w:w="4158" w:type="dxa"/>
          </w:tcPr>
          <w:p w:rsidR="00ED77C9" w:rsidRPr="005B6BDA" w:rsidRDefault="005B6BDA" w:rsidP="000F77DE">
            <w:pPr>
              <w:rPr>
                <w:bCs/>
                <w:color w:val="02243C"/>
                <w:szCs w:val="18"/>
              </w:rPr>
            </w:pPr>
            <w:r>
              <w:rPr>
                <w:bCs/>
                <w:color w:val="02243C"/>
                <w:szCs w:val="18"/>
              </w:rPr>
              <w:t>Refer IV drug using clients to SUD treatment</w:t>
            </w:r>
          </w:p>
        </w:tc>
        <w:tc>
          <w:tcPr>
            <w:tcW w:w="5220" w:type="dxa"/>
          </w:tcPr>
          <w:p w:rsidR="009D25A6" w:rsidRPr="007725C8" w:rsidRDefault="0063497C" w:rsidP="00C92FDD">
            <w:pPr>
              <w:rPr>
                <w:bCs/>
                <w:color w:val="02243C"/>
                <w:szCs w:val="18"/>
              </w:rPr>
            </w:pPr>
            <w:r>
              <w:rPr>
                <w:bCs/>
                <w:color w:val="02243C"/>
                <w:szCs w:val="18"/>
              </w:rPr>
              <w:t>Activities to refer IV drug users</w:t>
            </w:r>
            <w:r w:rsidR="006D3D4D">
              <w:rPr>
                <w:bCs/>
                <w:color w:val="02243C"/>
                <w:szCs w:val="18"/>
              </w:rPr>
              <w:t>,</w:t>
            </w:r>
            <w:r>
              <w:rPr>
                <w:bCs/>
                <w:color w:val="02243C"/>
                <w:szCs w:val="18"/>
              </w:rPr>
              <w:t xml:space="preserve"> with with substance use disorders (SUD),/co-occurring mental health/substance use disorders</w:t>
            </w:r>
            <w:r w:rsidR="006D3D4D">
              <w:rPr>
                <w:bCs/>
                <w:color w:val="02243C"/>
                <w:szCs w:val="18"/>
              </w:rPr>
              <w:t>,</w:t>
            </w:r>
            <w:r>
              <w:rPr>
                <w:bCs/>
                <w:color w:val="02243C"/>
                <w:szCs w:val="18"/>
              </w:rPr>
              <w:t xml:space="preserve"> to SUD services</w:t>
            </w:r>
          </w:p>
        </w:tc>
        <w:tc>
          <w:tcPr>
            <w:tcW w:w="5310" w:type="dxa"/>
          </w:tcPr>
          <w:p w:rsidR="00ED77C9" w:rsidRDefault="00ED77C9" w:rsidP="000F77DE">
            <w:pPr>
              <w:rPr>
                <w:b/>
                <w:bCs/>
                <w:color w:val="02243C"/>
                <w:szCs w:val="18"/>
              </w:rPr>
            </w:pPr>
          </w:p>
        </w:tc>
      </w:tr>
    </w:tbl>
    <w:p w:rsidR="00142F9F" w:rsidRDefault="00142F9F" w:rsidP="00BE15C9"/>
    <w:sectPr w:rsidR="00142F9F" w:rsidSect="00ED77C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DE"/>
    <w:rsid w:val="000C0FF1"/>
    <w:rsid w:val="000F77DE"/>
    <w:rsid w:val="00136EEE"/>
    <w:rsid w:val="00142F9F"/>
    <w:rsid w:val="001A5D3A"/>
    <w:rsid w:val="001D38C0"/>
    <w:rsid w:val="001F6D6A"/>
    <w:rsid w:val="00390E2B"/>
    <w:rsid w:val="003C7C03"/>
    <w:rsid w:val="0049446F"/>
    <w:rsid w:val="004E22EA"/>
    <w:rsid w:val="00591C7C"/>
    <w:rsid w:val="005B6BDA"/>
    <w:rsid w:val="005E2457"/>
    <w:rsid w:val="0063497C"/>
    <w:rsid w:val="006A43CC"/>
    <w:rsid w:val="006D3D4D"/>
    <w:rsid w:val="006E4940"/>
    <w:rsid w:val="007725C8"/>
    <w:rsid w:val="00795752"/>
    <w:rsid w:val="007B0D74"/>
    <w:rsid w:val="007F2CA0"/>
    <w:rsid w:val="00861FE6"/>
    <w:rsid w:val="008E0466"/>
    <w:rsid w:val="008E5182"/>
    <w:rsid w:val="008F479B"/>
    <w:rsid w:val="008F78F0"/>
    <w:rsid w:val="009142AD"/>
    <w:rsid w:val="00943237"/>
    <w:rsid w:val="00967FFB"/>
    <w:rsid w:val="009A5499"/>
    <w:rsid w:val="009D25A6"/>
    <w:rsid w:val="009D7C49"/>
    <w:rsid w:val="00A0586B"/>
    <w:rsid w:val="00A20C6C"/>
    <w:rsid w:val="00A7596E"/>
    <w:rsid w:val="00A80B4E"/>
    <w:rsid w:val="00A94BE2"/>
    <w:rsid w:val="00AB282B"/>
    <w:rsid w:val="00B20B76"/>
    <w:rsid w:val="00BE15C9"/>
    <w:rsid w:val="00C92FDD"/>
    <w:rsid w:val="00CC7A50"/>
    <w:rsid w:val="00DD6380"/>
    <w:rsid w:val="00E22F72"/>
    <w:rsid w:val="00ED77C9"/>
    <w:rsid w:val="00F0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9F23A-50B9-4DC6-AEAC-6EFC454D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BE2"/>
    <w:rPr>
      <w:b/>
      <w:bCs/>
      <w:strike w:val="0"/>
      <w:dstrike w:val="0"/>
      <w:color w:val="005DB3"/>
      <w:u w:val="none"/>
      <w:effect w:val="none"/>
    </w:rPr>
  </w:style>
  <w:style w:type="paragraph" w:styleId="BalloonText">
    <w:name w:val="Balloon Text"/>
    <w:basedOn w:val="Normal"/>
    <w:link w:val="BalloonTextChar"/>
    <w:uiPriority w:val="99"/>
    <w:semiHidden/>
    <w:unhideWhenUsed/>
    <w:rsid w:val="00E22F72"/>
    <w:rPr>
      <w:rFonts w:ascii="Tahoma" w:hAnsi="Tahoma" w:cs="Tahoma"/>
      <w:sz w:val="16"/>
      <w:szCs w:val="16"/>
    </w:rPr>
  </w:style>
  <w:style w:type="character" w:customStyle="1" w:styleId="BalloonTextChar">
    <w:name w:val="Balloon Text Char"/>
    <w:basedOn w:val="DefaultParagraphFont"/>
    <w:link w:val="BalloonText"/>
    <w:uiPriority w:val="99"/>
    <w:semiHidden/>
    <w:rsid w:val="00E22F72"/>
    <w:rPr>
      <w:rFonts w:ascii="Tahoma" w:hAnsi="Tahoma" w:cs="Tahoma"/>
      <w:sz w:val="16"/>
      <w:szCs w:val="16"/>
    </w:rPr>
  </w:style>
  <w:style w:type="character" w:customStyle="1" w:styleId="lbltext21">
    <w:name w:val="lbltext21"/>
    <w:basedOn w:val="DefaultParagraphFont"/>
    <w:rsid w:val="007B0D74"/>
    <w:rPr>
      <w:rFonts w:ascii="Verdana" w:hAnsi="Verdana" w:hint="default"/>
      <w:b w:val="0"/>
      <w:bCs w:val="0"/>
      <w:color w:val="6C6C6C"/>
      <w:sz w:val="16"/>
      <w:szCs w:val="16"/>
    </w:rPr>
  </w:style>
  <w:style w:type="character" w:styleId="Emphasis">
    <w:name w:val="Emphasis"/>
    <w:basedOn w:val="DefaultParagraphFont"/>
    <w:uiPriority w:val="20"/>
    <w:qFormat/>
    <w:rsid w:val="007B0D74"/>
    <w:rPr>
      <w:b/>
      <w:bCs/>
      <w:i w:val="0"/>
      <w:iCs w:val="0"/>
    </w:rPr>
  </w:style>
  <w:style w:type="character" w:customStyle="1" w:styleId="st1">
    <w:name w:val="st1"/>
    <w:basedOn w:val="DefaultParagraphFont"/>
    <w:rsid w:val="007B0D74"/>
  </w:style>
  <w:style w:type="character" w:customStyle="1" w:styleId="santext">
    <w:name w:val="santext"/>
    <w:basedOn w:val="DefaultParagraphFont"/>
    <w:rsid w:val="00772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044792">
      <w:bodyDiv w:val="1"/>
      <w:marLeft w:val="0"/>
      <w:marRight w:val="0"/>
      <w:marTop w:val="0"/>
      <w:marBottom w:val="0"/>
      <w:divBdr>
        <w:top w:val="none" w:sz="0" w:space="0" w:color="auto"/>
        <w:left w:val="none" w:sz="0" w:space="0" w:color="auto"/>
        <w:bottom w:val="none" w:sz="0" w:space="0" w:color="auto"/>
        <w:right w:val="none" w:sz="0" w:space="0" w:color="auto"/>
      </w:divBdr>
      <w:divsChild>
        <w:div w:id="7366734">
          <w:marLeft w:val="0"/>
          <w:marRight w:val="0"/>
          <w:marTop w:val="0"/>
          <w:marBottom w:val="0"/>
          <w:divBdr>
            <w:top w:val="none" w:sz="0" w:space="0" w:color="auto"/>
            <w:left w:val="none" w:sz="0" w:space="0" w:color="auto"/>
            <w:bottom w:val="none" w:sz="0" w:space="0" w:color="auto"/>
            <w:right w:val="none" w:sz="0" w:space="0" w:color="auto"/>
          </w:divBdr>
          <w:divsChild>
            <w:div w:id="825509943">
              <w:marLeft w:val="0"/>
              <w:marRight w:val="0"/>
              <w:marTop w:val="0"/>
              <w:marBottom w:val="0"/>
              <w:divBdr>
                <w:top w:val="none" w:sz="0" w:space="0" w:color="auto"/>
                <w:left w:val="none" w:sz="0" w:space="0" w:color="auto"/>
                <w:bottom w:val="none" w:sz="0" w:space="0" w:color="auto"/>
                <w:right w:val="none" w:sz="0" w:space="0" w:color="auto"/>
              </w:divBdr>
              <w:divsChild>
                <w:div w:id="961807228">
                  <w:marLeft w:val="0"/>
                  <w:marRight w:val="0"/>
                  <w:marTop w:val="100"/>
                  <w:marBottom w:val="100"/>
                  <w:divBdr>
                    <w:top w:val="none" w:sz="0" w:space="0" w:color="auto"/>
                    <w:left w:val="none" w:sz="0" w:space="0" w:color="auto"/>
                    <w:bottom w:val="none" w:sz="0" w:space="0" w:color="auto"/>
                    <w:right w:val="none" w:sz="0" w:space="0" w:color="auto"/>
                  </w:divBdr>
                  <w:divsChild>
                    <w:div w:id="266743072">
                      <w:marLeft w:val="0"/>
                      <w:marRight w:val="0"/>
                      <w:marTop w:val="0"/>
                      <w:marBottom w:val="0"/>
                      <w:divBdr>
                        <w:top w:val="none" w:sz="0" w:space="0" w:color="auto"/>
                        <w:left w:val="none" w:sz="0" w:space="0" w:color="auto"/>
                        <w:bottom w:val="none" w:sz="0" w:space="0" w:color="auto"/>
                        <w:right w:val="none" w:sz="0" w:space="0" w:color="auto"/>
                      </w:divBdr>
                      <w:divsChild>
                        <w:div w:id="1638142117">
                          <w:marLeft w:val="0"/>
                          <w:marRight w:val="0"/>
                          <w:marTop w:val="0"/>
                          <w:marBottom w:val="0"/>
                          <w:divBdr>
                            <w:top w:val="none" w:sz="0" w:space="0" w:color="auto"/>
                            <w:left w:val="none" w:sz="0" w:space="0" w:color="auto"/>
                            <w:bottom w:val="none" w:sz="0" w:space="0" w:color="auto"/>
                            <w:right w:val="none" w:sz="0" w:space="0" w:color="auto"/>
                          </w:divBdr>
                          <w:divsChild>
                            <w:div w:id="1138718187">
                              <w:marLeft w:val="0"/>
                              <w:marRight w:val="0"/>
                              <w:marTop w:val="0"/>
                              <w:marBottom w:val="0"/>
                              <w:divBdr>
                                <w:top w:val="none" w:sz="0" w:space="0" w:color="auto"/>
                                <w:left w:val="none" w:sz="0" w:space="0" w:color="auto"/>
                                <w:bottom w:val="none" w:sz="0" w:space="0" w:color="auto"/>
                                <w:right w:val="none" w:sz="0" w:space="0" w:color="auto"/>
                              </w:divBdr>
                              <w:divsChild>
                                <w:div w:id="12379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evention.odp.idaho.gov/SABG/Provider%20Info.html" TargetMode="External"/><Relationship Id="rId5" Type="http://schemas.openxmlformats.org/officeDocument/2006/relationships/hyperlink" Target="mailto:bloxhama@dhw.idah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Custom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28B4-8189-429B-B5BC-1EBA5187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DHW</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Pappin, Terry - CO 3rd</dc:creator>
  <cp:lastModifiedBy>LRC</cp:lastModifiedBy>
  <cp:revision>2</cp:revision>
  <cp:lastPrinted>2015-10-13T14:53:00Z</cp:lastPrinted>
  <dcterms:created xsi:type="dcterms:W3CDTF">2016-01-19T16:47:00Z</dcterms:created>
  <dcterms:modified xsi:type="dcterms:W3CDTF">2016-01-19T16:47:00Z</dcterms:modified>
</cp:coreProperties>
</file>